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343" w:rsidRDefault="00F55343">
      <w:pPr>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GUGLIELMINA MECUCCI</w:t>
      </w:r>
    </w:p>
    <w:p w:rsidR="00F55343" w:rsidRDefault="00F55343">
      <w:pPr>
        <w:pBdr>
          <w:bottom w:val="single" w:sz="8" w:space="1" w:color="auto"/>
        </w:pBdr>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AVVOCATO</w:t>
      </w:r>
    </w:p>
    <w:p w:rsidR="00F55343" w:rsidRDefault="00F55343">
      <w:pPr>
        <w:spacing w:line="360" w:lineRule="atLeast"/>
        <w:ind w:right="-2"/>
        <w:rPr>
          <w:rFonts w:ascii="Bookman Old Style" w:hAnsi="Bookman Old Style" w:cs="Bookman Old Style"/>
          <w:color w:val="000000"/>
          <w:sz w:val="24"/>
          <w:szCs w:val="24"/>
        </w:rPr>
      </w:pPr>
    </w:p>
    <w:p w:rsidR="00F55343" w:rsidRDefault="00F55343">
      <w:pPr>
        <w:keepNext/>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DATI ANAGRAFICI</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GUGLIELMINA MECUCCI</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nata a Sezzadio (AL) il 29.04.1965</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residente in Alessandria, corso Roma, 85</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C.F: MCCGLL65D69I711W</w:t>
      </w:r>
    </w:p>
    <w:p w:rsidR="00F55343" w:rsidRDefault="00F55343">
      <w:pPr>
        <w:spacing w:line="360" w:lineRule="atLeast"/>
        <w:ind w:right="-2"/>
        <w:jc w:val="both"/>
        <w:rPr>
          <w:rFonts w:ascii="Bookman Old Style" w:hAnsi="Bookman Old Style" w:cs="Bookman Old Style"/>
          <w:color w:val="000000"/>
          <w:sz w:val="24"/>
          <w:szCs w:val="24"/>
        </w:rPr>
      </w:pPr>
    </w:p>
    <w:p w:rsidR="00F55343" w:rsidRDefault="00F55343">
      <w:pPr>
        <w:keepNext/>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STUDIO PROFESSIONALE</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Via Legnano, 27  15121 Alessandria</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Tel.: 0131.235633  Fax: 0131.316015</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Cell. 338.8528666</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email: info@studiolegalemecucci.it</w:t>
      </w: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pec: avv.g.mecucci@puntopec.it</w:t>
      </w:r>
    </w:p>
    <w:p w:rsidR="00F55343" w:rsidRDefault="00F55343">
      <w:pPr>
        <w:spacing w:line="360" w:lineRule="atLeast"/>
        <w:ind w:right="-2"/>
        <w:jc w:val="both"/>
        <w:rPr>
          <w:rFonts w:ascii="Bookman Old Style" w:hAnsi="Bookman Old Style" w:cs="Bookman Old Style"/>
          <w:color w:val="000000"/>
          <w:sz w:val="24"/>
          <w:szCs w:val="24"/>
        </w:rPr>
      </w:pPr>
    </w:p>
    <w:p w:rsidR="00F55343" w:rsidRDefault="00F55343">
      <w:pPr>
        <w:keepNext/>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TITOLI DI STUDIO</w:t>
      </w:r>
    </w:p>
    <w:p w:rsidR="00F55343" w:rsidRDefault="00F55343" w:rsidP="002A1D90">
      <w:pPr>
        <w:numPr>
          <w:ilvl w:val="0"/>
          <w:numId w:val="1"/>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Diploma di Maturità classica conseguito nel 1984 presso il Liceo classico G. Plana di Alessandria;</w:t>
      </w:r>
    </w:p>
    <w:p w:rsidR="00F55343" w:rsidRDefault="00F55343" w:rsidP="002A1D90">
      <w:pPr>
        <w:numPr>
          <w:ilvl w:val="0"/>
          <w:numId w:val="2"/>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Laurea in Giurisprudenza presso l’Università degli Studi di Genova, conseguita nell’anno accademico 1992;</w:t>
      </w:r>
    </w:p>
    <w:p w:rsidR="00F55343" w:rsidRDefault="00F55343" w:rsidP="002A1D90">
      <w:pPr>
        <w:numPr>
          <w:ilvl w:val="0"/>
          <w:numId w:val="3"/>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Conseguimento dell’abilitazione all’esercizio della professione di Avvocato in data 29.10.1999.</w:t>
      </w:r>
    </w:p>
    <w:p w:rsidR="00F55343" w:rsidRDefault="00F55343" w:rsidP="002A1D90">
      <w:pPr>
        <w:numPr>
          <w:ilvl w:val="0"/>
          <w:numId w:val="3"/>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Cassazionista dal 21.02.2014.</w:t>
      </w:r>
    </w:p>
    <w:p w:rsidR="00F55343" w:rsidRDefault="00F55343">
      <w:pPr>
        <w:keepNext/>
        <w:spacing w:line="360" w:lineRule="atLeast"/>
        <w:ind w:right="-2" w:firstLine="708"/>
        <w:jc w:val="center"/>
        <w:rPr>
          <w:rFonts w:ascii="Bookman Old Style" w:hAnsi="Bookman Old Style" w:cs="Bookman Old Style"/>
          <w:b/>
          <w:bCs/>
          <w:color w:val="000000"/>
          <w:sz w:val="24"/>
          <w:szCs w:val="24"/>
        </w:rPr>
      </w:pPr>
    </w:p>
    <w:p w:rsidR="00F55343" w:rsidRDefault="00F55343">
      <w:pPr>
        <w:keepNext/>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ESPERIENZE LAVORATIVE</w:t>
      </w:r>
    </w:p>
    <w:tbl>
      <w:tblPr>
        <w:tblW w:w="0" w:type="auto"/>
        <w:tblLayout w:type="fixed"/>
        <w:tblCellMar>
          <w:left w:w="180" w:type="dxa"/>
          <w:right w:w="180" w:type="dxa"/>
        </w:tblCellMar>
        <w:tblLook w:val="0000"/>
      </w:tblPr>
      <w:tblGrid>
        <w:gridCol w:w="10455"/>
      </w:tblGrid>
      <w:tr w:rsidR="00F55343">
        <w:tblPrEx>
          <w:tblCellMar>
            <w:top w:w="0" w:type="dxa"/>
            <w:bottom w:w="0" w:type="dxa"/>
          </w:tblCellMar>
        </w:tblPrEx>
        <w:trPr>
          <w:trHeight w:val="3326"/>
        </w:trPr>
        <w:tc>
          <w:tcPr>
            <w:tcW w:w="10455" w:type="dxa"/>
            <w:tcBorders>
              <w:top w:val="nil"/>
              <w:left w:val="nil"/>
              <w:bottom w:val="nil"/>
              <w:right w:val="nil"/>
            </w:tcBorders>
          </w:tcPr>
          <w:p w:rsidR="00F55343" w:rsidRDefault="00F55343">
            <w:pPr>
              <w:suppressAutoHyphens/>
              <w:autoSpaceDE/>
              <w:spacing w:line="360" w:lineRule="atLeast"/>
              <w:ind w:right="1626"/>
              <w:jc w:val="both"/>
              <w:rPr>
                <w:rFonts w:ascii="Bookman Old Style" w:hAnsi="Bookman Old Style" w:cs="Bookman Old Style"/>
                <w:kern w:val="0"/>
                <w:sz w:val="24"/>
                <w:szCs w:val="24"/>
              </w:rPr>
            </w:pPr>
            <w:r>
              <w:rPr>
                <w:rFonts w:ascii="Bookman Old Style" w:hAnsi="Bookman Old Style" w:cs="Bookman Old Style"/>
                <w:color w:val="000000"/>
                <w:kern w:val="3"/>
                <w:sz w:val="24"/>
                <w:szCs w:val="24"/>
                <w:lang w:val="en-US"/>
              </w:rPr>
              <w:t>1.</w:t>
            </w:r>
            <w:r>
              <w:rPr>
                <w:rFonts w:ascii="Bookman Old Style" w:hAnsi="Bookman Old Style" w:cs="Bookman Old Style"/>
                <w:color w:val="000000"/>
                <w:kern w:val="3"/>
                <w:sz w:val="24"/>
                <w:szCs w:val="24"/>
                <w:lang w:val="en-US"/>
              </w:rPr>
              <w:tab/>
              <w:t xml:space="preserve">Esercizio della professione di  </w:t>
            </w:r>
            <w:r>
              <w:rPr>
                <w:rFonts w:ascii="Bookman Old Style" w:hAnsi="Bookman Old Style" w:cs="Bookman Old Style"/>
                <w:b/>
                <w:bCs/>
                <w:color w:val="000000"/>
                <w:kern w:val="3"/>
                <w:sz w:val="24"/>
                <w:szCs w:val="24"/>
                <w:lang w:val="en-US"/>
              </w:rPr>
              <w:t>Avvocato,</w:t>
            </w:r>
            <w:r>
              <w:rPr>
                <w:rFonts w:ascii="Bookman Old Style" w:hAnsi="Bookman Old Style" w:cs="Bookman Old Style"/>
                <w:color w:val="000000"/>
                <w:kern w:val="3"/>
                <w:sz w:val="24"/>
                <w:szCs w:val="24"/>
                <w:lang w:val="en-US"/>
              </w:rPr>
              <w:t xml:space="preserve">  ininterrottamente  a far data dal 1999 ad oggi,  nelle materie</w:t>
            </w:r>
            <w:r>
              <w:rPr>
                <w:rFonts w:ascii="Bookman Old Style" w:hAnsi="Bookman Old Style" w:cs="Bookman Old Style"/>
                <w:color w:val="333333"/>
                <w:kern w:val="3"/>
                <w:sz w:val="24"/>
                <w:szCs w:val="24"/>
              </w:rPr>
              <w:t xml:space="preserve"> sia di diritto civile e processuale civile che di diritto penale e processuale penale, con particolare attenzione per il diritto di famiglia e dei minori, delle successioni, volontaria giurisdizione, contratti, esecuzioni mobiliari, immobiliari, recupero credito, responsabilità civile e penale, infortunistica sul lavoro e stradale, nonché in materia di responsabilità amministrativa ex D.L. 08 giugno 2001 n. 231 ed attività stragiudiziale.</w:t>
            </w:r>
          </w:p>
        </w:tc>
      </w:tr>
      <w:tr w:rsidR="00F55343">
        <w:tblPrEx>
          <w:tblCellMar>
            <w:top w:w="0" w:type="dxa"/>
            <w:bottom w:w="0" w:type="dxa"/>
          </w:tblCellMar>
        </w:tblPrEx>
        <w:trPr>
          <w:trHeight w:val="445"/>
        </w:trPr>
        <w:tc>
          <w:tcPr>
            <w:tcW w:w="10455" w:type="dxa"/>
            <w:tcBorders>
              <w:top w:val="nil"/>
              <w:left w:val="nil"/>
              <w:bottom w:val="nil"/>
              <w:right w:val="nil"/>
            </w:tcBorders>
          </w:tcPr>
          <w:p w:rsidR="00F55343" w:rsidRDefault="00F55343">
            <w:pPr>
              <w:overflowPunct/>
              <w:rPr>
                <w:rFonts w:ascii="Bookman Old Style" w:hAnsi="Bookman Old Style" w:cs="Bookman Old Style"/>
                <w:kern w:val="0"/>
                <w:sz w:val="24"/>
                <w:szCs w:val="24"/>
              </w:rPr>
            </w:pPr>
          </w:p>
        </w:tc>
      </w:tr>
      <w:tr w:rsidR="00F55343">
        <w:tblPrEx>
          <w:tblCellMar>
            <w:top w:w="0" w:type="dxa"/>
            <w:bottom w:w="0" w:type="dxa"/>
          </w:tblCellMar>
        </w:tblPrEx>
        <w:trPr>
          <w:trHeight w:val="325"/>
        </w:trPr>
        <w:tc>
          <w:tcPr>
            <w:tcW w:w="10455" w:type="dxa"/>
            <w:tcBorders>
              <w:top w:val="nil"/>
              <w:left w:val="nil"/>
              <w:bottom w:val="nil"/>
              <w:right w:val="nil"/>
            </w:tcBorders>
          </w:tcPr>
          <w:p w:rsidR="00F55343" w:rsidRDefault="00F55343">
            <w:pPr>
              <w:overflowPunct/>
              <w:rPr>
                <w:rFonts w:ascii="Bookman Old Style" w:hAnsi="Bookman Old Style" w:cs="Bookman Old Style"/>
                <w:kern w:val="0"/>
                <w:sz w:val="24"/>
                <w:szCs w:val="24"/>
              </w:rPr>
            </w:pPr>
          </w:p>
        </w:tc>
      </w:tr>
    </w:tbl>
    <w:p w:rsidR="00F55343" w:rsidRDefault="00F55343">
      <w:pPr>
        <w:overflowPunct/>
        <w:rPr>
          <w:rFonts w:ascii="Bookman Old Style" w:hAnsi="Bookman Old Style" w:cs="Bookman Old Style"/>
          <w:color w:val="000000"/>
          <w:sz w:val="24"/>
          <w:szCs w:val="24"/>
        </w:rPr>
      </w:pPr>
    </w:p>
    <w:p w:rsidR="00F55343" w:rsidRDefault="00F55343">
      <w:pPr>
        <w:rPr>
          <w:rFonts w:ascii="Bookman Old Style" w:hAnsi="Bookman Old Style" w:cs="Bookman Old Style"/>
          <w:color w:val="000000"/>
          <w:sz w:val="24"/>
          <w:szCs w:val="24"/>
        </w:rPr>
      </w:pPr>
    </w:p>
    <w:p w:rsidR="00F55343" w:rsidRDefault="00F55343">
      <w:pPr>
        <w:rPr>
          <w:rFonts w:ascii="Bookman Old Style" w:hAnsi="Bookman Old Style" w:cs="Bookman Old Style"/>
          <w:color w:val="000000"/>
          <w:sz w:val="24"/>
          <w:szCs w:val="24"/>
        </w:rPr>
      </w:pPr>
    </w:p>
    <w:p w:rsidR="00F55343" w:rsidRDefault="00F55343">
      <w:pPr>
        <w:tabs>
          <w:tab w:val="left" w:pos="0"/>
        </w:tabs>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2. Copertura della Carica di </w:t>
      </w:r>
      <w:r>
        <w:rPr>
          <w:rFonts w:ascii="Bookman Old Style" w:hAnsi="Bookman Old Style" w:cs="Bookman Old Style"/>
          <w:b/>
          <w:bCs/>
          <w:color w:val="000000"/>
          <w:sz w:val="24"/>
          <w:szCs w:val="24"/>
        </w:rPr>
        <w:t>Vice Procuratore Onorario</w:t>
      </w:r>
      <w:r>
        <w:rPr>
          <w:rFonts w:ascii="Bookman Old Style" w:hAnsi="Bookman Old Style" w:cs="Bookman Old Style"/>
          <w:color w:val="000000"/>
          <w:sz w:val="24"/>
          <w:szCs w:val="24"/>
        </w:rPr>
        <w:t xml:space="preserve"> presso la Procura della Repubblica del Tribunale di Alessandria a far data dal 1995 al 1996;</w:t>
      </w:r>
    </w:p>
    <w:p w:rsidR="00F55343" w:rsidRDefault="00F55343">
      <w:pPr>
        <w:tabs>
          <w:tab w:val="left" w:pos="0"/>
        </w:tabs>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3. Esercizio dell’attività onoraria di </w:t>
      </w:r>
      <w:r>
        <w:rPr>
          <w:rFonts w:ascii="Bookman Old Style" w:hAnsi="Bookman Old Style" w:cs="Bookman Old Style"/>
          <w:b/>
          <w:bCs/>
          <w:color w:val="000000"/>
          <w:sz w:val="24"/>
          <w:szCs w:val="24"/>
        </w:rPr>
        <w:t>Giudice di Pace</w:t>
      </w:r>
      <w:r>
        <w:rPr>
          <w:rFonts w:ascii="Bookman Old Style" w:hAnsi="Bookman Old Style" w:cs="Bookman Old Style"/>
          <w:color w:val="000000"/>
          <w:sz w:val="24"/>
          <w:szCs w:val="24"/>
        </w:rPr>
        <w:t xml:space="preserve">  prima presso la sede di Acqui Terme a far data dal 19 dicembre 2001,  e successivamente, dal 07.04.2014 ad oggi  presso l’Ufficio di Asti  (a seguito di trasferimento ex D.M. 27.03.2014 per l’intervenuta soppressione ed accorpamento del Tribunale di Acqui Terme al Tribunale di Alessandria con conseguente  sopravvenuta incompatibilità  presso il Tribunale di Alessandria ove la scrivente esercita l’attività professionale). </w:t>
      </w:r>
    </w:p>
    <w:p w:rsidR="00F55343" w:rsidRDefault="00F55343">
      <w:pPr>
        <w:tabs>
          <w:tab w:val="left" w:pos="0"/>
        </w:tabs>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4) </w:t>
      </w:r>
      <w:r>
        <w:rPr>
          <w:rFonts w:ascii="Bookman Old Style" w:hAnsi="Bookman Old Style" w:cs="Bookman Old Style"/>
          <w:b/>
          <w:bCs/>
          <w:color w:val="000000"/>
          <w:sz w:val="24"/>
          <w:szCs w:val="24"/>
        </w:rPr>
        <w:t>Componente Organismo Vigilanza Gruppo Amag</w:t>
      </w:r>
      <w:r>
        <w:rPr>
          <w:rFonts w:ascii="Bookman Old Style" w:hAnsi="Bookman Old Style" w:cs="Bookman Old Style"/>
          <w:color w:val="000000"/>
          <w:sz w:val="24"/>
          <w:szCs w:val="24"/>
        </w:rPr>
        <w:t xml:space="preserve"> </w:t>
      </w:r>
      <w:r>
        <w:rPr>
          <w:rFonts w:ascii="Bookman Old Style" w:hAnsi="Bookman Old Style" w:cs="Bookman Old Style"/>
          <w:b/>
          <w:bCs/>
          <w:color w:val="000000"/>
          <w:sz w:val="24"/>
          <w:szCs w:val="24"/>
        </w:rPr>
        <w:t>S.p.a.</w:t>
      </w:r>
      <w:r>
        <w:rPr>
          <w:rFonts w:ascii="Bookman Old Style" w:hAnsi="Bookman Old Style" w:cs="Bookman Old Style"/>
          <w:color w:val="000000"/>
          <w:sz w:val="24"/>
          <w:szCs w:val="24"/>
        </w:rPr>
        <w:t xml:space="preserve"> dal 01.06.2018 ad oggi.</w:t>
      </w:r>
    </w:p>
    <w:p w:rsidR="00F55343" w:rsidRDefault="00F55343">
      <w:pPr>
        <w:spacing w:line="360" w:lineRule="atLeast"/>
        <w:ind w:right="-2"/>
        <w:jc w:val="both"/>
        <w:rPr>
          <w:rFonts w:ascii="Bookman Old Style" w:hAnsi="Bookman Old Style" w:cs="Bookman Old Style"/>
          <w:color w:val="000000"/>
          <w:sz w:val="24"/>
          <w:szCs w:val="24"/>
        </w:rPr>
      </w:pPr>
    </w:p>
    <w:p w:rsidR="00F55343" w:rsidRDefault="00F55343">
      <w:pPr>
        <w:keepNext/>
        <w:spacing w:line="360" w:lineRule="atLeast"/>
        <w:ind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CORSI DI FORMAZIONE</w:t>
      </w:r>
    </w:p>
    <w:p w:rsidR="00F55343" w:rsidRDefault="00F55343">
      <w:pPr>
        <w:keepNext/>
        <w:spacing w:line="360" w:lineRule="atLeast"/>
        <w:ind w:right="-2"/>
        <w:jc w:val="both"/>
        <w:rPr>
          <w:rFonts w:ascii="Bookman Old Style" w:hAnsi="Bookman Old Style" w:cs="Bookman Old Style"/>
          <w:sz w:val="24"/>
          <w:szCs w:val="24"/>
        </w:rPr>
      </w:pPr>
      <w:r>
        <w:rPr>
          <w:rFonts w:ascii="Bookman Old Style" w:hAnsi="Bookman Old Style" w:cs="Bookman Old Style"/>
          <w:sz w:val="24"/>
          <w:szCs w:val="24"/>
        </w:rPr>
        <w:t>Tra i numerosi  e costanti aggiornamenti seguiti, si segnalano, tra gli altri, alcuni dei corsi ed incontri che hanno dato luogo ai relativi attestati di frequenza:</w:t>
      </w:r>
    </w:p>
    <w:p w:rsidR="00F55343" w:rsidRDefault="00F55343" w:rsidP="002A1D90">
      <w:pPr>
        <w:numPr>
          <w:ilvl w:val="0"/>
          <w:numId w:val="4"/>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nell’anno 2004 al corso di aggiornamento destinato ai Giudici di Pace, organizzato dal C.S.M. Ufficio dei Referenti per la Formazione Decentrata nel Distretto di Torino;</w:t>
      </w:r>
    </w:p>
    <w:p w:rsidR="00F55343" w:rsidRDefault="00F55343" w:rsidP="002A1D90">
      <w:pPr>
        <w:numPr>
          <w:ilvl w:val="0"/>
          <w:numId w:val="5"/>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alla Scuola per la Formazione dell’Avvocato della Famiglia e del Minore 2004 – 2005 organizzata dal Consiglio dell’Ordine degli Avvocati di Torino;</w:t>
      </w:r>
    </w:p>
    <w:p w:rsidR="00F55343" w:rsidRDefault="00F55343" w:rsidP="002A1D90">
      <w:pPr>
        <w:numPr>
          <w:ilvl w:val="0"/>
          <w:numId w:val="6"/>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nel mese di maggio 2005, all’incontro di studio organizzato dalla Commissione distrettuale per la Formazione della Magistratura Onoraria Corte d’Appello di Torino, sul tema “Circolazione stradale e responsabilità: il danno alla persona, la posizione delle pubbliche amministrazioni, le sanzioni amministrative”;</w:t>
      </w:r>
    </w:p>
    <w:p w:rsidR="00F55343" w:rsidRDefault="00F55343" w:rsidP="002A1D90">
      <w:pPr>
        <w:numPr>
          <w:ilvl w:val="0"/>
          <w:numId w:val="7"/>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in data  20.04.2006, all’incontro di studio sul tema “Il codice delle assicurazioni private (D.lgs. 7 settembre 2005, n. 209)” organizzato dalla Commissione Distrettuale per la Formazione della Magistratura Onoraria – Corte d’Appello di Torino;</w:t>
      </w:r>
    </w:p>
    <w:p w:rsidR="00F55343" w:rsidRDefault="00F55343" w:rsidP="002A1D90">
      <w:pPr>
        <w:numPr>
          <w:ilvl w:val="0"/>
          <w:numId w:val="8"/>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lastRenderedPageBreak/>
        <w:t>Partecipazione, in data 25.05.2007, al seminario sul tema “la deontologia dopo il decreto Bersani” organizzato dal Consiglio dell’ordine degli Avvocati di Alessandria;</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nel mese di luglio 2007, al seminario sul tema “Proprietà industriale: cenni sulle novità introdotte dal Codice di Proprietà Industriale (D.Lgs. 30/2005) e dal D.Lgs. 140/2006”, organizzato dal Consiglio dell’ordine degli Avvocati di Alessandria;</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al corso “L’avvocato di famiglia”  con incontri tra  16.09.2011 al 02.12.2011 organizzato dall’Ordine degli Avvocati di Novara in collaborazione con la Giuffrè Editore </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Partecipazione all’incontro di studio “La condizione giuridica dello straniero e la tutela giurisdizionale  dei diritti fondamentali tra diritto interno e normativa  sovranazionale” presso Scuola Superiore di Magistratura a Roma dal 24.09.2011 al 26.09.2011 </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presso la Scuola Superiore di Magistratura a Villa Castelpulci a Scandicci (FI) dal 30.09 al 02.10 2013 all’incontro di studio afferente “Il processo civile del Giudice di Pace”</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Partecipazione all’incontro “Recupero e contendibilità delle imprese in crisi” in data 21.11.2015 in Alba presso Fondazione Ferrero </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all’incontro di studio “La proprietà privata nel condominio” in data 24.03.2017 a Stresa</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all’incontro  di studio “I sessant’anni di Europa I problemi di oggi, le sfide di domani, in data 12.05.2017 a Vercelli</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all’incontro  di studio “I reati commessi con strumenti informatici ed il cyber bullismo” in data 21.04.2017 in Novi Ligure, presso Villa Pomela</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presso la Scuola Superiore di Magistratura a Villa Castelpulci a Scandicci (FI) dal 03.03.2018 al 05.03.2018 all’incontro studio afferente “Le questioni controverse del procedimento monitorio e del giudizio di opposizione</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a incontro di studio organizzato da ANACI presso Hotel Regina Palace di Stresa  in data  23.03.2018 afferente “Il mandato- L’amministratore, il rappresentante il revisore” </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presso la Scuola Superiore di Magistratura a Villa Castelpulci a Scandicci (FI) dal 24.10.2018 al 26.10.2018 all’incontro </w:t>
      </w:r>
      <w:r>
        <w:rPr>
          <w:rFonts w:ascii="Bookman Old Style" w:hAnsi="Bookman Old Style" w:cs="Bookman Old Style"/>
          <w:color w:val="000000"/>
          <w:sz w:val="24"/>
          <w:szCs w:val="24"/>
        </w:rPr>
        <w:lastRenderedPageBreak/>
        <w:t>studio afferente “Le sessioni specializzate per l’immigrazione”.</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a VII convegno giuridico nazionale incontro di studio organizzato da ANACI presso Hotel Dino a Baveno in data 08.03.2019</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 xml:space="preserve"> Partecipazione all’incontro di studio  organizzato da C.O.A. di Asti  in data 12.04.2019 afferente “la legittima difesa tra precedente e nuova normativa: profili penali, civili e psicologici”.</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III Convegno Interregionale della Polizia Locale in data 05.06.2019 in Alessandria.</w:t>
      </w:r>
    </w:p>
    <w:p w:rsidR="00F55343" w:rsidRDefault="00F55343" w:rsidP="002A1D90">
      <w:pPr>
        <w:numPr>
          <w:ilvl w:val="0"/>
          <w:numId w:val="9"/>
        </w:numPr>
        <w:tabs>
          <w:tab w:val="left" w:pos="180"/>
        </w:tabs>
        <w:spacing w:line="360" w:lineRule="atLeast"/>
        <w:ind w:left="180" w:right="-2" w:hanging="18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Partecipazione presso la Scuola Superiore di Magistratura a Villa Castelpulci a Scandicci dal 27.01.2020 al 29.01.2020 all’incontro di studio afferente “Il Giudice nel tempo difficile dell’informazione”.</w:t>
      </w: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CONOSCENZE LINGUISTICHE</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u w:val="single"/>
        </w:rPr>
        <w:t>Inglese</w:t>
      </w:r>
      <w:r>
        <w:rPr>
          <w:rFonts w:ascii="Bookman Old Style" w:hAnsi="Bookman Old Style" w:cs="Bookman Old Style"/>
          <w:color w:val="000000"/>
          <w:sz w:val="24"/>
          <w:szCs w:val="24"/>
        </w:rPr>
        <w:t>:</w:t>
      </w:r>
    </w:p>
    <w:p w:rsidR="00F55343" w:rsidRDefault="00F55343">
      <w:pPr>
        <w:tabs>
          <w:tab w:val="left" w:pos="180"/>
        </w:tabs>
        <w:spacing w:line="360" w:lineRule="atLeast"/>
        <w:ind w:left="540" w:right="-2" w:hanging="36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w:t>
      </w:r>
      <w:r>
        <w:rPr>
          <w:rFonts w:ascii="Bookman Old Style" w:hAnsi="Bookman Old Style" w:cs="Bookman Old Style"/>
          <w:color w:val="000000"/>
          <w:sz w:val="24"/>
          <w:szCs w:val="24"/>
        </w:rPr>
        <w:tab/>
        <w:t>capacità di lettura: buona;</w:t>
      </w:r>
    </w:p>
    <w:p w:rsidR="00F55343" w:rsidRDefault="00F55343">
      <w:pPr>
        <w:tabs>
          <w:tab w:val="left" w:pos="180"/>
        </w:tabs>
        <w:spacing w:line="360" w:lineRule="atLeast"/>
        <w:ind w:left="540" w:right="-2" w:hanging="36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w:t>
      </w:r>
      <w:r>
        <w:rPr>
          <w:rFonts w:ascii="Bookman Old Style" w:hAnsi="Bookman Old Style" w:cs="Bookman Old Style"/>
          <w:color w:val="000000"/>
          <w:sz w:val="24"/>
          <w:szCs w:val="24"/>
        </w:rPr>
        <w:tab/>
        <w:t>capacità di scrittura: scolastica;</w:t>
      </w:r>
    </w:p>
    <w:p w:rsidR="00F55343" w:rsidRDefault="00F55343">
      <w:pPr>
        <w:tabs>
          <w:tab w:val="left" w:pos="180"/>
        </w:tabs>
        <w:spacing w:line="360" w:lineRule="atLeast"/>
        <w:ind w:left="540" w:right="-2" w:hanging="360"/>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w:t>
      </w:r>
      <w:r>
        <w:rPr>
          <w:rFonts w:ascii="Bookman Old Style" w:hAnsi="Bookman Old Style" w:cs="Bookman Old Style"/>
          <w:color w:val="000000"/>
          <w:sz w:val="24"/>
          <w:szCs w:val="24"/>
        </w:rPr>
        <w:tab/>
        <w:t>capacità di espressione orale: scolastica</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CAPACITA’ E COMPETENZE RELAZIONALI</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Ottima capacità di relazionarmi con il prossimo.</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Disponibilità all’ascolto del prossimo e al confronto, dinamismo, ottima capacità di problem solving, forte adattabilità e flessibilità.</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CAPACITA’ E COMPETENZE ORGANIZZATIVE</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Ottime capacità di organizzazione del lavoro, sia proprio che dei propri collaboratori.</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Ottime doti di problem solving e forte resistenza allo stress emotivo e lavorativo.</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t>CAPACITA’ E COMPETENZE TECNICHE</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Buona conoscenza e applicazione del sistema operativo Windows XP.</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Buona conoscenza e applicazione del pacchetto Microsoft Office.</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Ottima conoscenza e applicazione di Outlook Express.</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Ottima conoscenza e navigazione web e motori di ricerca.</w:t>
      </w: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p>
    <w:p w:rsidR="00F55343" w:rsidRDefault="00F55343">
      <w:pPr>
        <w:tabs>
          <w:tab w:val="left" w:pos="180"/>
        </w:tabs>
        <w:spacing w:line="360" w:lineRule="atLeast"/>
        <w:ind w:left="180" w:right="-2"/>
        <w:jc w:val="center"/>
        <w:rPr>
          <w:rFonts w:ascii="Bookman Old Style" w:hAnsi="Bookman Old Style" w:cs="Bookman Old Style"/>
          <w:b/>
          <w:bCs/>
          <w:color w:val="000000"/>
          <w:sz w:val="24"/>
          <w:szCs w:val="24"/>
        </w:rPr>
      </w:pPr>
      <w:r>
        <w:rPr>
          <w:rFonts w:ascii="Bookman Old Style" w:hAnsi="Bookman Old Style" w:cs="Bookman Old Style"/>
          <w:b/>
          <w:bCs/>
          <w:color w:val="000000"/>
          <w:sz w:val="24"/>
          <w:szCs w:val="24"/>
        </w:rPr>
        <w:lastRenderedPageBreak/>
        <w:t>PATENTE</w:t>
      </w:r>
    </w:p>
    <w:p w:rsidR="00F55343" w:rsidRDefault="00F55343">
      <w:pPr>
        <w:tabs>
          <w:tab w:val="left" w:pos="180"/>
        </w:tabs>
        <w:spacing w:line="360" w:lineRule="atLeast"/>
        <w:ind w:left="180"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Automunita e in possesso di patente cat. B.</w:t>
      </w:r>
    </w:p>
    <w:tbl>
      <w:tblPr>
        <w:tblW w:w="0" w:type="auto"/>
        <w:tblLayout w:type="fixed"/>
        <w:tblCellMar>
          <w:left w:w="180" w:type="dxa"/>
          <w:right w:w="180" w:type="dxa"/>
        </w:tblCellMar>
        <w:tblLook w:val="0000"/>
      </w:tblPr>
      <w:tblGrid>
        <w:gridCol w:w="2942"/>
        <w:gridCol w:w="380"/>
        <w:gridCol w:w="7228"/>
      </w:tblGrid>
      <w:tr w:rsidR="00F55343">
        <w:tblPrEx>
          <w:tblCellMar>
            <w:top w:w="0" w:type="dxa"/>
            <w:bottom w:w="0" w:type="dxa"/>
          </w:tblCellMar>
        </w:tblPrEx>
        <w:trPr>
          <w:trHeight w:val="325"/>
        </w:trPr>
        <w:tc>
          <w:tcPr>
            <w:tcW w:w="2942" w:type="dxa"/>
            <w:tcBorders>
              <w:top w:val="nil"/>
              <w:left w:val="nil"/>
              <w:bottom w:val="nil"/>
              <w:right w:val="nil"/>
            </w:tcBorders>
          </w:tcPr>
          <w:p w:rsidR="00F55343" w:rsidRDefault="00F55343">
            <w:pPr>
              <w:suppressAutoHyphens/>
              <w:autoSpaceDE/>
              <w:rPr>
                <w:b/>
                <w:bCs/>
                <w:smallCaps/>
                <w:kern w:val="3"/>
              </w:rPr>
            </w:pPr>
          </w:p>
          <w:p w:rsidR="00F55343" w:rsidRDefault="00F55343">
            <w:pPr>
              <w:suppressAutoHyphens/>
              <w:autoSpaceDE/>
              <w:rPr>
                <w:b/>
                <w:bCs/>
                <w:smallCaps/>
                <w:kern w:val="3"/>
              </w:rPr>
            </w:pPr>
          </w:p>
          <w:p w:rsidR="00F55343" w:rsidRDefault="00F55343">
            <w:pPr>
              <w:suppressAutoHyphens/>
              <w:autoSpaceDE/>
              <w:rPr>
                <w:kern w:val="0"/>
              </w:rPr>
            </w:pPr>
          </w:p>
        </w:tc>
        <w:tc>
          <w:tcPr>
            <w:tcW w:w="380" w:type="dxa"/>
            <w:tcBorders>
              <w:top w:val="nil"/>
              <w:left w:val="nil"/>
              <w:bottom w:val="nil"/>
              <w:right w:val="nil"/>
            </w:tcBorders>
          </w:tcPr>
          <w:p w:rsidR="00F55343" w:rsidRDefault="00F55343">
            <w:pPr>
              <w:overflowPunct/>
              <w:rPr>
                <w:kern w:val="0"/>
              </w:rPr>
            </w:pPr>
          </w:p>
        </w:tc>
        <w:tc>
          <w:tcPr>
            <w:tcW w:w="7228" w:type="dxa"/>
            <w:tcBorders>
              <w:top w:val="nil"/>
              <w:left w:val="nil"/>
              <w:bottom w:val="nil"/>
              <w:right w:val="nil"/>
            </w:tcBorders>
          </w:tcPr>
          <w:p w:rsidR="00F55343" w:rsidRDefault="00F55343">
            <w:pPr>
              <w:overflowPunct/>
              <w:rPr>
                <w:kern w:val="0"/>
              </w:rPr>
            </w:pPr>
          </w:p>
        </w:tc>
      </w:tr>
    </w:tbl>
    <w:p w:rsidR="00F55343" w:rsidRDefault="00F55343">
      <w:pPr>
        <w:overflowPunct/>
        <w:rPr>
          <w:rFonts w:ascii="Bookman Old Style" w:hAnsi="Bookman Old Style" w:cs="Bookman Old Style"/>
          <w:color w:val="000000"/>
          <w:sz w:val="24"/>
          <w:szCs w:val="24"/>
        </w:rPr>
      </w:pPr>
    </w:p>
    <w:p w:rsidR="00F55343" w:rsidRDefault="00F55343">
      <w:pPr>
        <w:spacing w:line="360" w:lineRule="atLeast"/>
        <w:ind w:right="-2"/>
        <w:jc w:val="both"/>
        <w:rPr>
          <w:rFonts w:ascii="Bookman Old Style" w:hAnsi="Bookman Old Style" w:cs="Bookman Old Style"/>
          <w:color w:val="000000"/>
          <w:sz w:val="24"/>
          <w:szCs w:val="24"/>
        </w:rPr>
      </w:pPr>
      <w:r>
        <w:rPr>
          <w:rFonts w:ascii="Bookman Old Style" w:hAnsi="Bookman Old Style" w:cs="Bookman Old Style"/>
          <w:color w:val="000000"/>
          <w:sz w:val="24"/>
          <w:szCs w:val="24"/>
        </w:rPr>
        <w:t>Alessandria, lì 20 maggio 2020 </w:t>
      </w:r>
    </w:p>
    <w:p w:rsidR="00F55343" w:rsidRDefault="00F55343">
      <w:pPr>
        <w:spacing w:line="360" w:lineRule="atLeast"/>
        <w:ind w:right="-2"/>
        <w:jc w:val="right"/>
        <w:rPr>
          <w:rFonts w:ascii="Bookman Old Style" w:hAnsi="Bookman Old Style" w:cs="Bookman Old Style"/>
          <w:sz w:val="24"/>
          <w:szCs w:val="24"/>
        </w:rPr>
      </w:pPr>
      <w:r>
        <w:rPr>
          <w:rFonts w:ascii="Bookman Old Style" w:hAnsi="Bookman Old Style" w:cs="Bookman Old Style"/>
          <w:color w:val="000000"/>
          <w:sz w:val="24"/>
          <w:szCs w:val="24"/>
        </w:rPr>
        <w:t>Guglielmina Mecucci </w:t>
      </w:r>
    </w:p>
    <w:sectPr w:rsidR="00F55343" w:rsidSect="00F55343">
      <w:headerReference w:type="default" r:id="rId7"/>
      <w:footerReference w:type="default" r:id="rId8"/>
      <w:pgSz w:w="11905" w:h="16835"/>
      <w:pgMar w:top="1361" w:right="1418" w:bottom="1361" w:left="1418" w:header="709" w:footer="709"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5B90" w:rsidRDefault="00BA5B90" w:rsidP="00F55343">
      <w:r>
        <w:separator/>
      </w:r>
    </w:p>
  </w:endnote>
  <w:endnote w:type="continuationSeparator" w:id="0">
    <w:p w:rsidR="00BA5B90" w:rsidRDefault="00BA5B90" w:rsidP="00F553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343" w:rsidRDefault="00F55343">
    <w:pPr>
      <w:tabs>
        <w:tab w:val="center" w:pos="4251"/>
        <w:tab w:val="right" w:pos="8502"/>
      </w:tabs>
      <w:rPr>
        <w:kern w:val="0"/>
      </w:rPr>
    </w:pPr>
  </w:p>
  <w:p w:rsidR="00F55343" w:rsidRDefault="00F55343">
    <w:pPr>
      <w:tabs>
        <w:tab w:val="center" w:pos="4251"/>
        <w:tab w:val="right" w:pos="8502"/>
      </w:tabs>
      <w:rPr>
        <w:kern w:val="0"/>
      </w:rPr>
    </w:pPr>
  </w:p>
  <w:p w:rsidR="00F55343" w:rsidRDefault="00F55343">
    <w:pPr>
      <w:tabs>
        <w:tab w:val="center" w:pos="4251"/>
        <w:tab w:val="right" w:pos="8502"/>
      </w:tabs>
      <w:rPr>
        <w:kern w:val="0"/>
      </w:rPr>
    </w:pPr>
  </w:p>
  <w:p w:rsidR="00F55343" w:rsidRDefault="00F55343">
    <w:pPr>
      <w:tabs>
        <w:tab w:val="center" w:pos="4251"/>
        <w:tab w:val="right" w:pos="8502"/>
      </w:tabs>
      <w:rPr>
        <w:kern w:val="0"/>
      </w:rPr>
    </w:pPr>
  </w:p>
  <w:p w:rsidR="00F55343" w:rsidRDefault="00F55343">
    <w:pPr>
      <w:tabs>
        <w:tab w:val="center" w:pos="4251"/>
        <w:tab w:val="right" w:pos="8502"/>
      </w:tabs>
      <w:rPr>
        <w:kern w:val="0"/>
      </w:rPr>
    </w:pPr>
  </w:p>
  <w:p w:rsidR="00F55343" w:rsidRDefault="00F55343">
    <w:pPr>
      <w:tabs>
        <w:tab w:val="center" w:pos="4251"/>
        <w:tab w:val="right" w:pos="8502"/>
      </w:tabs>
      <w:rPr>
        <w:kern w:val="0"/>
      </w:rPr>
    </w:pPr>
  </w:p>
  <w:p w:rsidR="00F55343" w:rsidRDefault="00F55343">
    <w:pPr>
      <w:tabs>
        <w:tab w:val="center" w:pos="4251"/>
        <w:tab w:val="right" w:pos="8502"/>
      </w:tabs>
      <w:rPr>
        <w:rFonts w:eastAsiaTheme="minorEastAsia"/>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5B90" w:rsidRDefault="00BA5B90" w:rsidP="00F55343">
      <w:r>
        <w:separator/>
      </w:r>
    </w:p>
  </w:footnote>
  <w:footnote w:type="continuationSeparator" w:id="0">
    <w:p w:rsidR="00BA5B90" w:rsidRDefault="00BA5B90" w:rsidP="00F553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5343" w:rsidRDefault="00F55343">
    <w:pPr>
      <w:tabs>
        <w:tab w:val="center" w:pos="4362"/>
        <w:tab w:val="right" w:pos="8729"/>
      </w:tabs>
      <w:rPr>
        <w:kern w:val="0"/>
      </w:rPr>
    </w:pPr>
  </w:p>
  <w:p w:rsidR="00F55343" w:rsidRDefault="00F55343">
    <w:pPr>
      <w:tabs>
        <w:tab w:val="center" w:pos="4362"/>
        <w:tab w:val="right" w:pos="8729"/>
      </w:tabs>
      <w:rPr>
        <w:kern w:val="0"/>
      </w:rPr>
    </w:pPr>
  </w:p>
  <w:p w:rsidR="00F55343" w:rsidRDefault="00F55343">
    <w:pPr>
      <w:tabs>
        <w:tab w:val="center" w:pos="4362"/>
        <w:tab w:val="right" w:pos="8729"/>
      </w:tabs>
      <w:rPr>
        <w:kern w:val="0"/>
      </w:rPr>
    </w:pPr>
  </w:p>
  <w:p w:rsidR="00F55343" w:rsidRDefault="00F55343">
    <w:pPr>
      <w:tabs>
        <w:tab w:val="center" w:pos="4362"/>
        <w:tab w:val="right" w:pos="8729"/>
      </w:tabs>
      <w:rPr>
        <w:rFonts w:eastAsiaTheme="minorEastAsia"/>
        <w:kern w:val="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1A156E"/>
    <w:multiLevelType w:val="singleLevel"/>
    <w:tmpl w:val="F7F8AB06"/>
    <w:lvl w:ilvl="0">
      <w:start w:val="1"/>
      <w:numFmt w:val="decimal"/>
      <w:lvlText w:val="%1"/>
      <w:legacy w:legacy="1" w:legacySpace="0" w:legacyIndent="360"/>
      <w:lvlJc w:val="left"/>
      <w:rPr>
        <w:rFonts w:ascii="Times New Roman" w:hAnsi="Times New Roman" w:cs="Times New Roman" w:hint="default"/>
      </w:rPr>
    </w:lvl>
  </w:abstractNum>
  <w:abstractNum w:abstractNumId="1">
    <w:nsid w:val="6A3C5FA4"/>
    <w:multiLevelType w:val="singleLevel"/>
    <w:tmpl w:val="F7F8AB06"/>
    <w:lvl w:ilvl="0">
      <w:start w:val="1"/>
      <w:numFmt w:val="decimal"/>
      <w:lvlText w:val="%1"/>
      <w:legacy w:legacy="1" w:legacySpace="0" w:legacyIndent="360"/>
      <w:lvlJc w:val="left"/>
      <w:rPr>
        <w:rFonts w:ascii="Times New Roman" w:hAnsi="Times New Roman" w:cs="Times New Roman" w:hint="default"/>
      </w:rPr>
    </w:lvl>
  </w:abstractNum>
  <w:num w:numId="1">
    <w:abstractNumId w:val="1"/>
  </w:num>
  <w:num w:numId="2">
    <w:abstractNumId w:val="1"/>
    <w:lvlOverride w:ilvl="0">
      <w:lvl w:ilvl="0">
        <w:start w:val="2"/>
        <w:numFmt w:val="decimal"/>
        <w:lvlText w:val="%1"/>
        <w:legacy w:legacy="1" w:legacySpace="0" w:legacyIndent="360"/>
        <w:lvlJc w:val="left"/>
        <w:rPr>
          <w:rFonts w:ascii="Times New Roman" w:hAnsi="Times New Roman" w:cs="Times New Roman" w:hint="default"/>
        </w:rPr>
      </w:lvl>
    </w:lvlOverride>
  </w:num>
  <w:num w:numId="3">
    <w:abstractNumId w:val="1"/>
    <w:lvlOverride w:ilvl="0">
      <w:lvl w:ilvl="0">
        <w:start w:val="3"/>
        <w:numFmt w:val="decimal"/>
        <w:lvlText w:val="%1"/>
        <w:legacy w:legacy="1" w:legacySpace="0" w:legacyIndent="360"/>
        <w:lvlJc w:val="left"/>
        <w:rPr>
          <w:rFonts w:ascii="Times New Roman" w:hAnsi="Times New Roman" w:cs="Times New Roman" w:hint="default"/>
        </w:rPr>
      </w:lvl>
    </w:lvlOverride>
  </w:num>
  <w:num w:numId="4">
    <w:abstractNumId w:val="0"/>
  </w:num>
  <w:num w:numId="5">
    <w:abstractNumId w:val="0"/>
    <w:lvlOverride w:ilvl="0">
      <w:lvl w:ilvl="0">
        <w:start w:val="2"/>
        <w:numFmt w:val="decimal"/>
        <w:lvlText w:val="%1"/>
        <w:legacy w:legacy="1" w:legacySpace="0" w:legacyIndent="360"/>
        <w:lvlJc w:val="left"/>
        <w:rPr>
          <w:rFonts w:ascii="Times New Roman" w:hAnsi="Times New Roman" w:cs="Times New Roman" w:hint="default"/>
        </w:rPr>
      </w:lvl>
    </w:lvlOverride>
  </w:num>
  <w:num w:numId="6">
    <w:abstractNumId w:val="0"/>
    <w:lvlOverride w:ilvl="0">
      <w:lvl w:ilvl="0">
        <w:start w:val="3"/>
        <w:numFmt w:val="decimal"/>
        <w:lvlText w:val="%1"/>
        <w:legacy w:legacy="1" w:legacySpace="0" w:legacyIndent="360"/>
        <w:lvlJc w:val="left"/>
        <w:rPr>
          <w:rFonts w:ascii="Times New Roman" w:hAnsi="Times New Roman" w:cs="Times New Roman" w:hint="default"/>
        </w:rPr>
      </w:lvl>
    </w:lvlOverride>
  </w:num>
  <w:num w:numId="7">
    <w:abstractNumId w:val="0"/>
    <w:lvlOverride w:ilvl="0">
      <w:lvl w:ilvl="0">
        <w:start w:val="5"/>
        <w:numFmt w:val="decimal"/>
        <w:lvlText w:val="%1"/>
        <w:legacy w:legacy="1" w:legacySpace="0" w:legacyIndent="360"/>
        <w:lvlJc w:val="left"/>
        <w:rPr>
          <w:rFonts w:ascii="Times New Roman" w:hAnsi="Times New Roman" w:cs="Times New Roman" w:hint="default"/>
        </w:rPr>
      </w:lvl>
    </w:lvlOverride>
  </w:num>
  <w:num w:numId="8">
    <w:abstractNumId w:val="0"/>
    <w:lvlOverride w:ilvl="0">
      <w:lvl w:ilvl="0">
        <w:start w:val="6"/>
        <w:numFmt w:val="decimal"/>
        <w:lvlText w:val="%1"/>
        <w:legacy w:legacy="1" w:legacySpace="0" w:legacyIndent="360"/>
        <w:lvlJc w:val="left"/>
        <w:rPr>
          <w:rFonts w:ascii="Times New Roman" w:hAnsi="Times New Roman" w:cs="Times New Roman" w:hint="default"/>
        </w:rPr>
      </w:lvl>
    </w:lvlOverride>
  </w:num>
  <w:num w:numId="9">
    <w:abstractNumId w:val="0"/>
    <w:lvlOverride w:ilvl="0">
      <w:lvl w:ilvl="0">
        <w:start w:val="7"/>
        <w:numFmt w:val="decimal"/>
        <w:lvlText w:val="%1"/>
        <w:legacy w:legacy="1" w:legacySpace="0" w:legacyIndent="360"/>
        <w:lvlJc w:val="left"/>
        <w:rPr>
          <w:rFonts w:ascii="Times New Roman" w:hAnsi="Times New Roman" w:cs="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08"/>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lorPos" w:val="-1"/>
    <w:docVar w:name="ColorSet" w:val="-1"/>
    <w:docVar w:name="StylePos" w:val="-1"/>
    <w:docVar w:name="StyleSet" w:val="-1"/>
  </w:docVars>
  <w:rsids>
    <w:rsidRoot w:val="00F55343"/>
    <w:rsid w:val="002A1D90"/>
    <w:rsid w:val="00BA5B90"/>
    <w:rsid w:val="00F55343"/>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overflowPunct w:val="0"/>
      <w:autoSpaceDE w:val="0"/>
      <w:autoSpaceDN w:val="0"/>
      <w:adjustRightInd w:val="0"/>
      <w:spacing w:after="0" w:line="240" w:lineRule="auto"/>
    </w:pPr>
    <w:rPr>
      <w:rFonts w:ascii="Times New Roman" w:eastAsia="Times New Roman" w:hAnsi="Times New Roman" w:cs="Times New Roman"/>
      <w:kern w:val="28"/>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1034</Words>
  <Characters>5897</Characters>
  <Application>Microsoft Office Word</Application>
  <DocSecurity>0</DocSecurity>
  <Lines>49</Lines>
  <Paragraphs>13</Paragraphs>
  <ScaleCrop>false</ScaleCrop>
  <Company/>
  <LinksUpToDate>false</LinksUpToDate>
  <CharactersWithSpaces>6918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massarenti</dc:creator>
  <cp:lastModifiedBy>massarenti</cp:lastModifiedBy>
  <cp:revision>2</cp:revision>
  <dcterms:created xsi:type="dcterms:W3CDTF">2020-05-21T08:47:00Z</dcterms:created>
  <dcterms:modified xsi:type="dcterms:W3CDTF">2020-05-21T08:47:00Z</dcterms:modified>
</cp:coreProperties>
</file>